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C757D" w14:textId="77777777" w:rsidR="00C11981" w:rsidRDefault="00C11981" w:rsidP="00A05BF0">
      <w:pPr>
        <w:pStyle w:val="Heading2"/>
        <w:rPr>
          <w:rFonts w:ascii="Arial Black" w:hAnsi="Arial Black"/>
          <w:bCs/>
          <w:i w:val="0"/>
        </w:rPr>
      </w:pPr>
    </w:p>
    <w:p w14:paraId="7C344407" w14:textId="3C9424D7" w:rsidR="00A05BF0" w:rsidRPr="0093096E" w:rsidRDefault="007066AC" w:rsidP="00A05BF0">
      <w:pPr>
        <w:pStyle w:val="Heading2"/>
        <w:rPr>
          <w:rFonts w:ascii="Arial Black" w:hAnsi="Arial Black"/>
          <w:bCs/>
          <w:i w:val="0"/>
          <w:vertAlign w:val="superscript"/>
        </w:rPr>
      </w:pPr>
      <w:r>
        <w:rPr>
          <w:rFonts w:ascii="Arial Black" w:hAnsi="Arial Black"/>
          <w:bCs/>
          <w:i w:val="0"/>
        </w:rPr>
        <w:t>Blazer Brass 30 Super Carry</w:t>
      </w:r>
    </w:p>
    <w:p w14:paraId="19ECE640" w14:textId="27DBA234" w:rsidR="00970B2E" w:rsidRPr="00970B2E" w:rsidRDefault="00970B2E" w:rsidP="00970B2E">
      <w:pPr>
        <w:rPr>
          <w:rFonts w:ascii="Arial" w:hAnsi="Arial" w:cs="Arial"/>
        </w:rPr>
      </w:pPr>
      <w:r w:rsidRPr="00970B2E">
        <w:rPr>
          <w:rFonts w:ascii="Arial" w:hAnsi="Arial" w:cs="Arial"/>
        </w:rPr>
        <w:t xml:space="preserve">Prepare yourself for any encounter with the handgun cartridge that’s changing concealed carry forever. </w:t>
      </w:r>
      <w:r w:rsidR="00EF34D8" w:rsidRPr="00970B2E">
        <w:rPr>
          <w:rFonts w:ascii="Arial" w:hAnsi="Arial" w:cs="Arial"/>
        </w:rPr>
        <w:t xml:space="preserve">The </w:t>
      </w:r>
      <w:r w:rsidR="00EF34D8">
        <w:rPr>
          <w:rFonts w:ascii="Arial" w:hAnsi="Arial" w:cs="Arial"/>
        </w:rPr>
        <w:t xml:space="preserve">30 Super Carry </w:t>
      </w:r>
      <w:r w:rsidR="00EF34D8" w:rsidRPr="00970B2E">
        <w:rPr>
          <w:rFonts w:ascii="Arial" w:hAnsi="Arial" w:cs="Arial"/>
        </w:rPr>
        <w:t>cartridge was developed by Blazer’s sister brand, Federal</w:t>
      </w:r>
      <w:r w:rsidR="00EF34D8" w:rsidRPr="008668A4">
        <w:rPr>
          <w:rFonts w:ascii="Arial" w:hAnsi="Arial" w:cs="Arial"/>
          <w:vertAlign w:val="superscript"/>
        </w:rPr>
        <w:t>®</w:t>
      </w:r>
      <w:r w:rsidR="00EF34D8" w:rsidRPr="00970B2E">
        <w:rPr>
          <w:rFonts w:ascii="Arial" w:hAnsi="Arial" w:cs="Arial"/>
        </w:rPr>
        <w:t xml:space="preserve"> Ammunition, to provide the power of the 9mm Luger</w:t>
      </w:r>
      <w:r w:rsidR="00217271">
        <w:rPr>
          <w:rFonts w:ascii="Arial" w:hAnsi="Arial" w:cs="Arial"/>
        </w:rPr>
        <w:t xml:space="preserve"> in a smaller package</w:t>
      </w:r>
      <w:r w:rsidR="00EF34D8" w:rsidRPr="00970B2E">
        <w:rPr>
          <w:rFonts w:ascii="Arial" w:hAnsi="Arial" w:cs="Arial"/>
        </w:rPr>
        <w:t xml:space="preserve">. Its .312-inch diameter projectile carries the same energy as 9mm Luger at the muzzle, with better ballistics than 380 Auto. It can be chambered in smaller, easier to conceal handguns while still offering more magazine capacity than 9mm Luger. </w:t>
      </w:r>
      <w:r w:rsidRPr="00970B2E">
        <w:rPr>
          <w:rFonts w:ascii="Arial" w:hAnsi="Arial" w:cs="Arial"/>
        </w:rPr>
        <w:t xml:space="preserve">Blazer Brass 30 Super Carry uses reliable FMJ bullets, reloadable brass, and quality primers and propellants. </w:t>
      </w:r>
    </w:p>
    <w:p w14:paraId="5AFBC022" w14:textId="68E1FD59" w:rsidR="00007A4E" w:rsidRPr="00007A4E" w:rsidRDefault="00486DF9" w:rsidP="00970B2E">
      <w:pPr>
        <w:rPr>
          <w:rFonts w:ascii="Arial" w:hAnsi="Arial" w:cs="Arial"/>
        </w:rPr>
      </w:pPr>
      <w:r>
        <w:rPr>
          <w:rFonts w:ascii="Arial" w:hAnsi="Arial" w:cs="Arial"/>
        </w:rPr>
        <w:t xml:space="preserve">                   </w:t>
      </w:r>
      <w:r w:rsidR="00007A4E" w:rsidRPr="00007A4E">
        <w:rPr>
          <w:rFonts w:ascii="Arial" w:hAnsi="Arial" w:cs="Arial"/>
        </w:rPr>
        <w:t xml:space="preserve">                   </w:t>
      </w:r>
    </w:p>
    <w:p w14:paraId="0706CA79" w14:textId="77777777" w:rsidR="007A78C2" w:rsidRDefault="007A78C2" w:rsidP="00746D89">
      <w:pPr>
        <w:rPr>
          <w:rFonts w:ascii="Arial Black" w:hAnsi="Arial Black" w:cs="Arial"/>
        </w:rPr>
      </w:pPr>
      <w:r>
        <w:rPr>
          <w:rFonts w:ascii="Arial Black" w:hAnsi="Arial Black" w:cs="Arial"/>
        </w:rPr>
        <w:t>Features &amp; Benefits</w:t>
      </w:r>
    </w:p>
    <w:p w14:paraId="06F0C5D6" w14:textId="7E62A07D" w:rsidR="000B4ADE" w:rsidRPr="000B4ADE" w:rsidRDefault="000B4ADE" w:rsidP="000B4ADE">
      <w:pPr>
        <w:pStyle w:val="ListParagraph"/>
        <w:numPr>
          <w:ilvl w:val="0"/>
          <w:numId w:val="4"/>
        </w:numPr>
        <w:autoSpaceDE w:val="0"/>
        <w:autoSpaceDN w:val="0"/>
        <w:adjustRightInd w:val="0"/>
        <w:rPr>
          <w:rFonts w:ascii="Arial" w:hAnsi="Arial" w:cs="Arial"/>
          <w:bCs/>
        </w:rPr>
      </w:pPr>
      <w:r w:rsidRPr="000B4ADE">
        <w:rPr>
          <w:rFonts w:ascii="Arial" w:hAnsi="Arial" w:cs="Arial"/>
          <w:bCs/>
        </w:rPr>
        <w:t>Ideal training option for new 30 Super Carry cartridge</w:t>
      </w:r>
    </w:p>
    <w:p w14:paraId="4E51DCAE" w14:textId="43EF6D62" w:rsidR="000B4ADE" w:rsidRPr="000B4ADE" w:rsidRDefault="000B4ADE" w:rsidP="000B4ADE">
      <w:pPr>
        <w:pStyle w:val="ListParagraph"/>
        <w:numPr>
          <w:ilvl w:val="0"/>
          <w:numId w:val="4"/>
        </w:numPr>
        <w:autoSpaceDE w:val="0"/>
        <w:autoSpaceDN w:val="0"/>
        <w:adjustRightInd w:val="0"/>
        <w:rPr>
          <w:rFonts w:ascii="Arial" w:hAnsi="Arial" w:cs="Arial"/>
          <w:bCs/>
        </w:rPr>
      </w:pPr>
      <w:r w:rsidRPr="000B4ADE">
        <w:rPr>
          <w:rFonts w:ascii="Arial" w:hAnsi="Arial" w:cs="Arial"/>
          <w:bCs/>
        </w:rPr>
        <w:t>Reliable FMJ bullet and reloadable brass</w:t>
      </w:r>
    </w:p>
    <w:p w14:paraId="358BE02B" w14:textId="4DECC22B" w:rsidR="000B4ADE" w:rsidRPr="000B4ADE" w:rsidRDefault="000B4ADE" w:rsidP="000B4ADE">
      <w:pPr>
        <w:pStyle w:val="ListParagraph"/>
        <w:numPr>
          <w:ilvl w:val="0"/>
          <w:numId w:val="4"/>
        </w:numPr>
        <w:autoSpaceDE w:val="0"/>
        <w:autoSpaceDN w:val="0"/>
        <w:adjustRightInd w:val="0"/>
        <w:rPr>
          <w:rFonts w:ascii="Arial" w:hAnsi="Arial" w:cs="Arial"/>
          <w:bCs/>
        </w:rPr>
      </w:pPr>
      <w:r w:rsidRPr="000B4ADE">
        <w:rPr>
          <w:rFonts w:ascii="Arial" w:hAnsi="Arial" w:cs="Arial"/>
          <w:bCs/>
        </w:rPr>
        <w:t xml:space="preserve">Cartridge offers the same muzzle energy as 9mm Luger, with far better </w:t>
      </w:r>
      <w:r w:rsidR="0088502B">
        <w:rPr>
          <w:rFonts w:ascii="Arial" w:hAnsi="Arial" w:cs="Arial"/>
          <w:bCs/>
        </w:rPr>
        <w:t>ballistics</w:t>
      </w:r>
      <w:r w:rsidRPr="000B4ADE">
        <w:rPr>
          <w:rFonts w:ascii="Arial" w:hAnsi="Arial" w:cs="Arial"/>
          <w:bCs/>
        </w:rPr>
        <w:t xml:space="preserve"> than 380 Auto</w:t>
      </w:r>
    </w:p>
    <w:p w14:paraId="31FA7113" w14:textId="7EA55DCA" w:rsidR="00C87E3E" w:rsidRPr="000B4ADE" w:rsidRDefault="000B4ADE" w:rsidP="000B4ADE">
      <w:pPr>
        <w:pStyle w:val="ListParagraph"/>
        <w:numPr>
          <w:ilvl w:val="0"/>
          <w:numId w:val="4"/>
        </w:numPr>
        <w:autoSpaceDE w:val="0"/>
        <w:autoSpaceDN w:val="0"/>
        <w:adjustRightInd w:val="0"/>
        <w:rPr>
          <w:rFonts w:ascii="Arial" w:hAnsi="Arial" w:cs="Arial"/>
          <w:bCs/>
        </w:rPr>
      </w:pPr>
      <w:r w:rsidRPr="000B4ADE">
        <w:rPr>
          <w:rFonts w:ascii="Arial" w:hAnsi="Arial" w:cs="Arial"/>
          <w:bCs/>
        </w:rPr>
        <w:t>Pistol platforms provide smaller profiles for easier concealability with more magazine capacity than 9mm Luger</w:t>
      </w:r>
    </w:p>
    <w:p w14:paraId="6FD0C595" w14:textId="77777777" w:rsidR="00746D89" w:rsidRPr="00746D89" w:rsidRDefault="00746D89" w:rsidP="00746D89">
      <w:pPr>
        <w:pStyle w:val="ListParagraph"/>
        <w:autoSpaceDE w:val="0"/>
        <w:autoSpaceDN w:val="0"/>
        <w:adjustRightInd w:val="0"/>
        <w:rPr>
          <w:rFonts w:ascii="Arial" w:hAnsi="Arial" w:cs="Arial"/>
          <w:bCs/>
        </w:rPr>
      </w:pPr>
    </w:p>
    <w:p w14:paraId="3738E39C" w14:textId="77777777" w:rsidR="007A78C2" w:rsidRPr="003878F0" w:rsidRDefault="001C673B" w:rsidP="0088502B">
      <w:pPr>
        <w:tabs>
          <w:tab w:val="left" w:pos="1350"/>
          <w:tab w:val="left" w:pos="6120"/>
          <w:tab w:val="left" w:pos="8820"/>
        </w:tabs>
        <w:rPr>
          <w:rFonts w:ascii="Arial" w:hAnsi="Arial" w:cs="Arial"/>
        </w:rPr>
      </w:pPr>
      <w:r w:rsidRPr="003878F0">
        <w:rPr>
          <w:rFonts w:ascii="Arial Black" w:hAnsi="Arial Black"/>
          <w:bCs/>
        </w:rPr>
        <w:t>Part No.</w:t>
      </w:r>
      <w:r w:rsidRPr="003878F0">
        <w:rPr>
          <w:rFonts w:ascii="Arial Black" w:hAnsi="Arial Black"/>
          <w:bCs/>
        </w:rPr>
        <w:tab/>
      </w:r>
      <w:r w:rsidR="007A78C2" w:rsidRPr="003878F0">
        <w:rPr>
          <w:rFonts w:ascii="Arial Black" w:hAnsi="Arial Black"/>
          <w:bCs/>
        </w:rPr>
        <w:t>Description</w:t>
      </w:r>
      <w:r w:rsidRPr="003878F0">
        <w:rPr>
          <w:rFonts w:ascii="Arial Black" w:hAnsi="Arial Black"/>
          <w:bCs/>
        </w:rPr>
        <w:tab/>
        <w:t>UPC</w:t>
      </w:r>
      <w:r w:rsidRPr="003878F0">
        <w:rPr>
          <w:rFonts w:ascii="Arial Black" w:hAnsi="Arial Black"/>
          <w:bCs/>
        </w:rPr>
        <w:tab/>
        <w:t>MSRP</w:t>
      </w:r>
      <w:r w:rsidR="007A78C2" w:rsidRPr="003878F0">
        <w:rPr>
          <w:rFonts w:ascii="Arial" w:hAnsi="Arial" w:cs="Arial"/>
        </w:rPr>
        <w:t xml:space="preserve"> </w:t>
      </w:r>
    </w:p>
    <w:p w14:paraId="3908ADD9" w14:textId="3D567714" w:rsidR="00590434" w:rsidRDefault="0088502B" w:rsidP="0088502B">
      <w:pPr>
        <w:tabs>
          <w:tab w:val="left" w:pos="1350"/>
          <w:tab w:val="left" w:pos="2340"/>
          <w:tab w:val="left" w:pos="6120"/>
          <w:tab w:val="left" w:pos="6210"/>
          <w:tab w:val="left" w:pos="8820"/>
          <w:tab w:val="left" w:pos="8910"/>
        </w:tabs>
        <w:rPr>
          <w:rFonts w:ascii="Arial" w:hAnsi="Arial" w:cs="Arial"/>
          <w:sz w:val="22"/>
          <w:szCs w:val="22"/>
        </w:rPr>
      </w:pPr>
      <w:r w:rsidRPr="0088502B">
        <w:rPr>
          <w:rFonts w:ascii="Arial" w:hAnsi="Arial" w:cs="Arial"/>
          <w:sz w:val="22"/>
          <w:szCs w:val="22"/>
        </w:rPr>
        <w:t>5205</w:t>
      </w:r>
      <w:r>
        <w:rPr>
          <w:rFonts w:ascii="Arial" w:hAnsi="Arial" w:cs="Arial"/>
          <w:sz w:val="22"/>
          <w:szCs w:val="22"/>
        </w:rPr>
        <w:tab/>
        <w:t>Blazer Brass 30 Super Carry 115 grain FMJ</w:t>
      </w:r>
      <w:r>
        <w:rPr>
          <w:rFonts w:ascii="Arial" w:hAnsi="Arial" w:cs="Arial"/>
          <w:sz w:val="22"/>
          <w:szCs w:val="22"/>
        </w:rPr>
        <w:tab/>
      </w:r>
      <w:r w:rsidRPr="0088502B">
        <w:rPr>
          <w:rFonts w:ascii="Arial" w:hAnsi="Arial" w:cs="Arial"/>
          <w:sz w:val="22"/>
          <w:szCs w:val="22"/>
        </w:rPr>
        <w:t>604544 67098 1</w:t>
      </w:r>
      <w:r>
        <w:rPr>
          <w:rFonts w:ascii="Arial" w:hAnsi="Arial" w:cs="Arial"/>
          <w:sz w:val="22"/>
          <w:szCs w:val="22"/>
        </w:rPr>
        <w:tab/>
        <w:t>$30.99</w:t>
      </w:r>
    </w:p>
    <w:p w14:paraId="7B9DE835" w14:textId="77777777" w:rsidR="00C2212C" w:rsidRDefault="00C2212C" w:rsidP="00932C2D">
      <w:pPr>
        <w:tabs>
          <w:tab w:val="left" w:pos="2340"/>
          <w:tab w:val="left" w:pos="6210"/>
          <w:tab w:val="left" w:pos="8910"/>
        </w:tabs>
        <w:rPr>
          <w:rFonts w:ascii="Arial" w:hAnsi="Arial" w:cs="Arial"/>
          <w:sz w:val="22"/>
          <w:szCs w:val="22"/>
        </w:rPr>
      </w:pPr>
    </w:p>
    <w:p w14:paraId="1D0239FF" w14:textId="0950FFB1" w:rsidR="00590434" w:rsidRPr="00DA7DF8" w:rsidRDefault="00C2212C" w:rsidP="00590434">
      <w:pPr>
        <w:tabs>
          <w:tab w:val="left" w:pos="2340"/>
          <w:tab w:val="left" w:pos="6210"/>
          <w:tab w:val="left" w:pos="8910"/>
        </w:tabs>
        <w:jc w:val="center"/>
        <w:rPr>
          <w:rFonts w:ascii="Arial" w:hAnsi="Arial" w:cs="Arial"/>
          <w:sz w:val="22"/>
          <w:szCs w:val="22"/>
        </w:rPr>
      </w:pPr>
      <w:r>
        <w:rPr>
          <w:noProof/>
        </w:rPr>
        <w:drawing>
          <wp:inline distT="0" distB="0" distL="0" distR="0" wp14:anchorId="673938FB" wp14:editId="3AB8384E">
            <wp:extent cx="6223000" cy="2582422"/>
            <wp:effectExtent l="0" t="0" r="6350" b="889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37312" cy="2588361"/>
                    </a:xfrm>
                    <a:prstGeom prst="rect">
                      <a:avLst/>
                    </a:prstGeom>
                    <a:noFill/>
                    <a:ln>
                      <a:noFill/>
                    </a:ln>
                  </pic:spPr>
                </pic:pic>
              </a:graphicData>
            </a:graphic>
          </wp:inline>
        </w:drawing>
      </w:r>
      <w:r w:rsidR="00D36018" w:rsidRPr="00D36018">
        <w:rPr>
          <w:snapToGrid w:val="0"/>
          <w:color w:val="000000"/>
          <w:w w:val="0"/>
          <w:sz w:val="0"/>
          <w:szCs w:val="0"/>
          <w:u w:color="000000"/>
          <w:bdr w:val="none" w:sz="0" w:space="0" w:color="000000"/>
          <w:shd w:val="clear" w:color="000000" w:fill="000000"/>
          <w:lang w:val="x-none" w:eastAsia="x-none" w:bidi="x-none"/>
        </w:rPr>
        <w:t xml:space="preserve"> </w:t>
      </w:r>
    </w:p>
    <w:sectPr w:rsidR="00590434" w:rsidRPr="00DA7DF8" w:rsidSect="00C11981">
      <w:headerReference w:type="default" r:id="rId8"/>
      <w:footerReference w:type="default" r:id="rId9"/>
      <w:pgSz w:w="12240" w:h="15840"/>
      <w:pgMar w:top="1440" w:right="1080" w:bottom="144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8C949" w14:textId="77777777" w:rsidR="008945D4" w:rsidRDefault="008945D4" w:rsidP="005F68C0">
      <w:r>
        <w:separator/>
      </w:r>
    </w:p>
  </w:endnote>
  <w:endnote w:type="continuationSeparator" w:id="0">
    <w:p w14:paraId="54C85D18" w14:textId="77777777" w:rsidR="008945D4" w:rsidRDefault="008945D4" w:rsidP="005F6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2C08" w14:textId="5938E65C" w:rsidR="00375F5C" w:rsidRDefault="00970B2E" w:rsidP="00C11981">
    <w:pPr>
      <w:pStyle w:val="Footer"/>
      <w:tabs>
        <w:tab w:val="clear" w:pos="8640"/>
        <w:tab w:val="right" w:pos="10080"/>
      </w:tabs>
      <w:ind w:left="-1080"/>
      <w:rPr>
        <w:sz w:val="20"/>
      </w:rPr>
    </w:pPr>
    <w:r>
      <w:rPr>
        <w:noProof/>
        <w:sz w:val="20"/>
      </w:rPr>
      <w:drawing>
        <wp:inline distT="0" distB="0" distL="0" distR="0" wp14:anchorId="035CEF5F" wp14:editId="2ED55D0B">
          <wp:extent cx="7772400" cy="100239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087" cy="100828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7AF25" w14:textId="77777777" w:rsidR="008945D4" w:rsidRDefault="008945D4" w:rsidP="005F68C0">
      <w:r>
        <w:separator/>
      </w:r>
    </w:p>
  </w:footnote>
  <w:footnote w:type="continuationSeparator" w:id="0">
    <w:p w14:paraId="7BB8683E" w14:textId="77777777" w:rsidR="008945D4" w:rsidRDefault="008945D4" w:rsidP="005F68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6D0E0" w14:textId="089FDED6" w:rsidR="00375F5C" w:rsidRPr="00970B2E" w:rsidRDefault="00970B2E" w:rsidP="00970B2E">
    <w:pPr>
      <w:pStyle w:val="Header"/>
      <w:ind w:left="-1080"/>
    </w:pPr>
    <w:r>
      <w:rPr>
        <w:noProof/>
      </w:rPr>
      <w:drawing>
        <wp:inline distT="0" distB="0" distL="0" distR="0" wp14:anchorId="6DFD9B53" wp14:editId="32044327">
          <wp:extent cx="7791822" cy="1892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0592" cy="190414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B50B1"/>
    <w:multiLevelType w:val="hybridMultilevel"/>
    <w:tmpl w:val="A8DEC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6E6729"/>
    <w:multiLevelType w:val="hybridMultilevel"/>
    <w:tmpl w:val="DF32306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2D55148"/>
    <w:multiLevelType w:val="hybridMultilevel"/>
    <w:tmpl w:val="13A86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0A7819"/>
    <w:multiLevelType w:val="hybridMultilevel"/>
    <w:tmpl w:val="2DAC6698"/>
    <w:lvl w:ilvl="0" w:tplc="6D665E54">
      <w:start w:val="1"/>
      <w:numFmt w:val="bullet"/>
      <w:lvlText w:val="•"/>
      <w:lvlJc w:val="left"/>
      <w:pPr>
        <w:tabs>
          <w:tab w:val="num" w:pos="720"/>
        </w:tabs>
        <w:ind w:left="720" w:hanging="360"/>
      </w:pPr>
      <w:rPr>
        <w:rFonts w:ascii="Arial" w:hAnsi="Arial" w:hint="default"/>
      </w:rPr>
    </w:lvl>
    <w:lvl w:ilvl="1" w:tplc="1A0EEE1E">
      <w:start w:val="1"/>
      <w:numFmt w:val="bullet"/>
      <w:lvlText w:val="•"/>
      <w:lvlJc w:val="left"/>
      <w:pPr>
        <w:tabs>
          <w:tab w:val="num" w:pos="1440"/>
        </w:tabs>
        <w:ind w:left="1440" w:hanging="360"/>
      </w:pPr>
      <w:rPr>
        <w:rFonts w:ascii="Arial" w:hAnsi="Arial" w:hint="default"/>
      </w:rPr>
    </w:lvl>
    <w:lvl w:ilvl="2" w:tplc="836E8FFC">
      <w:start w:val="1"/>
      <w:numFmt w:val="bullet"/>
      <w:lvlText w:val="•"/>
      <w:lvlJc w:val="left"/>
      <w:pPr>
        <w:tabs>
          <w:tab w:val="num" w:pos="2160"/>
        </w:tabs>
        <w:ind w:left="2160" w:hanging="360"/>
      </w:pPr>
      <w:rPr>
        <w:rFonts w:ascii="Arial" w:hAnsi="Arial" w:hint="default"/>
      </w:rPr>
    </w:lvl>
    <w:lvl w:ilvl="3" w:tplc="1AD4B8F2" w:tentative="1">
      <w:start w:val="1"/>
      <w:numFmt w:val="bullet"/>
      <w:lvlText w:val="•"/>
      <w:lvlJc w:val="left"/>
      <w:pPr>
        <w:tabs>
          <w:tab w:val="num" w:pos="2880"/>
        </w:tabs>
        <w:ind w:left="2880" w:hanging="360"/>
      </w:pPr>
      <w:rPr>
        <w:rFonts w:ascii="Arial" w:hAnsi="Arial" w:hint="default"/>
      </w:rPr>
    </w:lvl>
    <w:lvl w:ilvl="4" w:tplc="AC0E0A9E" w:tentative="1">
      <w:start w:val="1"/>
      <w:numFmt w:val="bullet"/>
      <w:lvlText w:val="•"/>
      <w:lvlJc w:val="left"/>
      <w:pPr>
        <w:tabs>
          <w:tab w:val="num" w:pos="3600"/>
        </w:tabs>
        <w:ind w:left="3600" w:hanging="360"/>
      </w:pPr>
      <w:rPr>
        <w:rFonts w:ascii="Arial" w:hAnsi="Arial" w:hint="default"/>
      </w:rPr>
    </w:lvl>
    <w:lvl w:ilvl="5" w:tplc="A92A2F96" w:tentative="1">
      <w:start w:val="1"/>
      <w:numFmt w:val="bullet"/>
      <w:lvlText w:val="•"/>
      <w:lvlJc w:val="left"/>
      <w:pPr>
        <w:tabs>
          <w:tab w:val="num" w:pos="4320"/>
        </w:tabs>
        <w:ind w:left="4320" w:hanging="360"/>
      </w:pPr>
      <w:rPr>
        <w:rFonts w:ascii="Arial" w:hAnsi="Arial" w:hint="default"/>
      </w:rPr>
    </w:lvl>
    <w:lvl w:ilvl="6" w:tplc="0A52499A" w:tentative="1">
      <w:start w:val="1"/>
      <w:numFmt w:val="bullet"/>
      <w:lvlText w:val="•"/>
      <w:lvlJc w:val="left"/>
      <w:pPr>
        <w:tabs>
          <w:tab w:val="num" w:pos="5040"/>
        </w:tabs>
        <w:ind w:left="5040" w:hanging="360"/>
      </w:pPr>
      <w:rPr>
        <w:rFonts w:ascii="Arial" w:hAnsi="Arial" w:hint="default"/>
      </w:rPr>
    </w:lvl>
    <w:lvl w:ilvl="7" w:tplc="27F40ECA" w:tentative="1">
      <w:start w:val="1"/>
      <w:numFmt w:val="bullet"/>
      <w:lvlText w:val="•"/>
      <w:lvlJc w:val="left"/>
      <w:pPr>
        <w:tabs>
          <w:tab w:val="num" w:pos="5760"/>
        </w:tabs>
        <w:ind w:left="5760" w:hanging="360"/>
      </w:pPr>
      <w:rPr>
        <w:rFonts w:ascii="Arial" w:hAnsi="Arial" w:hint="default"/>
      </w:rPr>
    </w:lvl>
    <w:lvl w:ilvl="8" w:tplc="CB9C938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8C2"/>
    <w:rsid w:val="00003B12"/>
    <w:rsid w:val="00004084"/>
    <w:rsid w:val="00007A4E"/>
    <w:rsid w:val="00037FA7"/>
    <w:rsid w:val="000442EF"/>
    <w:rsid w:val="00046566"/>
    <w:rsid w:val="00061CC8"/>
    <w:rsid w:val="00083A2C"/>
    <w:rsid w:val="000A168D"/>
    <w:rsid w:val="000B4ADE"/>
    <w:rsid w:val="000C0144"/>
    <w:rsid w:val="000D3D1C"/>
    <w:rsid w:val="000E1E20"/>
    <w:rsid w:val="000F1907"/>
    <w:rsid w:val="000F3C8C"/>
    <w:rsid w:val="000F7038"/>
    <w:rsid w:val="00116838"/>
    <w:rsid w:val="00125211"/>
    <w:rsid w:val="00135176"/>
    <w:rsid w:val="00136EDC"/>
    <w:rsid w:val="0013784B"/>
    <w:rsid w:val="001508FE"/>
    <w:rsid w:val="00163698"/>
    <w:rsid w:val="001654A6"/>
    <w:rsid w:val="00166963"/>
    <w:rsid w:val="00170911"/>
    <w:rsid w:val="00192AF0"/>
    <w:rsid w:val="00195D84"/>
    <w:rsid w:val="001A0723"/>
    <w:rsid w:val="001C14E3"/>
    <w:rsid w:val="001C309F"/>
    <w:rsid w:val="001C673B"/>
    <w:rsid w:val="001D23D7"/>
    <w:rsid w:val="00206284"/>
    <w:rsid w:val="00216F3B"/>
    <w:rsid w:val="00217271"/>
    <w:rsid w:val="00261E13"/>
    <w:rsid w:val="00271974"/>
    <w:rsid w:val="00287462"/>
    <w:rsid w:val="002B6C8B"/>
    <w:rsid w:val="002D2DF5"/>
    <w:rsid w:val="002E2AF9"/>
    <w:rsid w:val="002F4B40"/>
    <w:rsid w:val="002F4FFB"/>
    <w:rsid w:val="0033522D"/>
    <w:rsid w:val="00342F3D"/>
    <w:rsid w:val="0035428C"/>
    <w:rsid w:val="00375F5C"/>
    <w:rsid w:val="00376FCD"/>
    <w:rsid w:val="003878F0"/>
    <w:rsid w:val="00396B95"/>
    <w:rsid w:val="003A2E85"/>
    <w:rsid w:val="003A7840"/>
    <w:rsid w:val="003B3BC5"/>
    <w:rsid w:val="003D1AAE"/>
    <w:rsid w:val="004124A0"/>
    <w:rsid w:val="00450895"/>
    <w:rsid w:val="00464C06"/>
    <w:rsid w:val="0047591B"/>
    <w:rsid w:val="004859F1"/>
    <w:rsid w:val="00486DF9"/>
    <w:rsid w:val="0049587F"/>
    <w:rsid w:val="004A688A"/>
    <w:rsid w:val="004A7BDC"/>
    <w:rsid w:val="004C335F"/>
    <w:rsid w:val="004D7400"/>
    <w:rsid w:val="004E2C72"/>
    <w:rsid w:val="004E4BED"/>
    <w:rsid w:val="004E7429"/>
    <w:rsid w:val="00510E73"/>
    <w:rsid w:val="00542B16"/>
    <w:rsid w:val="00543F0C"/>
    <w:rsid w:val="00547157"/>
    <w:rsid w:val="00574BF8"/>
    <w:rsid w:val="00583069"/>
    <w:rsid w:val="00590434"/>
    <w:rsid w:val="005C39EF"/>
    <w:rsid w:val="005D5BB1"/>
    <w:rsid w:val="005F68C0"/>
    <w:rsid w:val="00641315"/>
    <w:rsid w:val="0064475B"/>
    <w:rsid w:val="006615F9"/>
    <w:rsid w:val="00667624"/>
    <w:rsid w:val="0066789F"/>
    <w:rsid w:val="00670580"/>
    <w:rsid w:val="00684218"/>
    <w:rsid w:val="00701FE6"/>
    <w:rsid w:val="007066AC"/>
    <w:rsid w:val="007343D2"/>
    <w:rsid w:val="00746D89"/>
    <w:rsid w:val="00750D9A"/>
    <w:rsid w:val="00754E0A"/>
    <w:rsid w:val="00780D05"/>
    <w:rsid w:val="00790437"/>
    <w:rsid w:val="007A3B40"/>
    <w:rsid w:val="007A4A3D"/>
    <w:rsid w:val="007A6F7E"/>
    <w:rsid w:val="007A78C2"/>
    <w:rsid w:val="007C21B6"/>
    <w:rsid w:val="007C6180"/>
    <w:rsid w:val="007F3089"/>
    <w:rsid w:val="0080522F"/>
    <w:rsid w:val="008250B6"/>
    <w:rsid w:val="00864ECA"/>
    <w:rsid w:val="00865E64"/>
    <w:rsid w:val="008668A4"/>
    <w:rsid w:val="00870B45"/>
    <w:rsid w:val="0087214C"/>
    <w:rsid w:val="008831F9"/>
    <w:rsid w:val="0088502B"/>
    <w:rsid w:val="008945D4"/>
    <w:rsid w:val="008D12D8"/>
    <w:rsid w:val="00912132"/>
    <w:rsid w:val="00912970"/>
    <w:rsid w:val="00912A3F"/>
    <w:rsid w:val="0093096E"/>
    <w:rsid w:val="00931B91"/>
    <w:rsid w:val="00932C2D"/>
    <w:rsid w:val="00941760"/>
    <w:rsid w:val="009434F4"/>
    <w:rsid w:val="00970B2E"/>
    <w:rsid w:val="009820C6"/>
    <w:rsid w:val="009A3638"/>
    <w:rsid w:val="009B733E"/>
    <w:rsid w:val="009D7FF4"/>
    <w:rsid w:val="009E50E1"/>
    <w:rsid w:val="009E7775"/>
    <w:rsid w:val="009F67C0"/>
    <w:rsid w:val="00A008A5"/>
    <w:rsid w:val="00A05BF0"/>
    <w:rsid w:val="00A31F0E"/>
    <w:rsid w:val="00A41C61"/>
    <w:rsid w:val="00A63AB8"/>
    <w:rsid w:val="00A63C8F"/>
    <w:rsid w:val="00A648D8"/>
    <w:rsid w:val="00A859C6"/>
    <w:rsid w:val="00A86334"/>
    <w:rsid w:val="00AA3772"/>
    <w:rsid w:val="00AD140C"/>
    <w:rsid w:val="00B06B99"/>
    <w:rsid w:val="00B11FD2"/>
    <w:rsid w:val="00B121D1"/>
    <w:rsid w:val="00B342CD"/>
    <w:rsid w:val="00B54A04"/>
    <w:rsid w:val="00B93329"/>
    <w:rsid w:val="00BA408B"/>
    <w:rsid w:val="00BB153E"/>
    <w:rsid w:val="00BF39DA"/>
    <w:rsid w:val="00C1042D"/>
    <w:rsid w:val="00C11981"/>
    <w:rsid w:val="00C2212C"/>
    <w:rsid w:val="00C369B6"/>
    <w:rsid w:val="00C41782"/>
    <w:rsid w:val="00C60105"/>
    <w:rsid w:val="00C87E3E"/>
    <w:rsid w:val="00C9195B"/>
    <w:rsid w:val="00CA6177"/>
    <w:rsid w:val="00CB783D"/>
    <w:rsid w:val="00CC23BB"/>
    <w:rsid w:val="00CE662E"/>
    <w:rsid w:val="00D075F1"/>
    <w:rsid w:val="00D11528"/>
    <w:rsid w:val="00D36018"/>
    <w:rsid w:val="00D57EC2"/>
    <w:rsid w:val="00D63920"/>
    <w:rsid w:val="00D64133"/>
    <w:rsid w:val="00D730E0"/>
    <w:rsid w:val="00DA7DF8"/>
    <w:rsid w:val="00DE0CBF"/>
    <w:rsid w:val="00E03C4F"/>
    <w:rsid w:val="00E0499E"/>
    <w:rsid w:val="00E053BB"/>
    <w:rsid w:val="00E1119F"/>
    <w:rsid w:val="00E14B21"/>
    <w:rsid w:val="00E1737D"/>
    <w:rsid w:val="00E22D9E"/>
    <w:rsid w:val="00E26331"/>
    <w:rsid w:val="00E306CF"/>
    <w:rsid w:val="00E31F06"/>
    <w:rsid w:val="00E346B9"/>
    <w:rsid w:val="00E60709"/>
    <w:rsid w:val="00EF2446"/>
    <w:rsid w:val="00EF34D8"/>
    <w:rsid w:val="00F41ED3"/>
    <w:rsid w:val="00F503ED"/>
    <w:rsid w:val="00F67982"/>
    <w:rsid w:val="00F973DC"/>
    <w:rsid w:val="00FB3AEB"/>
    <w:rsid w:val="00FD7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A45F4C1"/>
  <w15:docId w15:val="{657D9E13-E8AF-451C-9C37-C2C1D6B79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8C2"/>
    <w:pPr>
      <w:spacing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7A78C2"/>
    <w:pPr>
      <w:keepNext/>
      <w:outlineLvl w:val="1"/>
    </w:pPr>
    <w:rPr>
      <w:rFonts w:ascii="Arial" w:hAnsi="Arial" w:cs="Arial"/>
      <w:i/>
      <w:iCs/>
      <w:sz w:val="28"/>
    </w:rPr>
  </w:style>
  <w:style w:type="paragraph" w:styleId="Heading4">
    <w:name w:val="heading 4"/>
    <w:basedOn w:val="Normal"/>
    <w:next w:val="Normal"/>
    <w:link w:val="Heading4Char"/>
    <w:qFormat/>
    <w:rsid w:val="007A78C2"/>
    <w:pPr>
      <w:keepNext/>
      <w:outlineLvl w:val="3"/>
    </w:pPr>
    <w:rPr>
      <w:rFonts w:ascii="Arial Black" w:hAnsi="Arial Black"/>
      <w:i/>
      <w:iCs/>
      <w:caps/>
      <w:spacing w:val="-6"/>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A78C2"/>
    <w:rPr>
      <w:rFonts w:ascii="Arial" w:eastAsia="Times New Roman" w:hAnsi="Arial" w:cs="Arial"/>
      <w:i/>
      <w:iCs/>
      <w:sz w:val="28"/>
      <w:szCs w:val="24"/>
    </w:rPr>
  </w:style>
  <w:style w:type="character" w:customStyle="1" w:styleId="Heading4Char">
    <w:name w:val="Heading 4 Char"/>
    <w:basedOn w:val="DefaultParagraphFont"/>
    <w:link w:val="Heading4"/>
    <w:rsid w:val="007A78C2"/>
    <w:rPr>
      <w:rFonts w:ascii="Arial Black" w:eastAsia="Times New Roman" w:hAnsi="Arial Black" w:cs="Times New Roman"/>
      <w:i/>
      <w:iCs/>
      <w:caps/>
      <w:spacing w:val="-6"/>
      <w:sz w:val="44"/>
      <w:szCs w:val="24"/>
    </w:rPr>
  </w:style>
  <w:style w:type="paragraph" w:styleId="Header">
    <w:name w:val="header"/>
    <w:basedOn w:val="Normal"/>
    <w:link w:val="HeaderChar"/>
    <w:rsid w:val="007A78C2"/>
    <w:pPr>
      <w:tabs>
        <w:tab w:val="center" w:pos="4320"/>
        <w:tab w:val="right" w:pos="8640"/>
      </w:tabs>
    </w:pPr>
  </w:style>
  <w:style w:type="character" w:customStyle="1" w:styleId="HeaderChar">
    <w:name w:val="Header Char"/>
    <w:basedOn w:val="DefaultParagraphFont"/>
    <w:link w:val="Header"/>
    <w:rsid w:val="007A78C2"/>
    <w:rPr>
      <w:rFonts w:ascii="Times New Roman" w:eastAsia="Times New Roman" w:hAnsi="Times New Roman" w:cs="Times New Roman"/>
      <w:sz w:val="24"/>
      <w:szCs w:val="24"/>
    </w:rPr>
  </w:style>
  <w:style w:type="paragraph" w:styleId="Footer">
    <w:name w:val="footer"/>
    <w:basedOn w:val="Normal"/>
    <w:link w:val="FooterChar"/>
    <w:rsid w:val="007A78C2"/>
    <w:pPr>
      <w:tabs>
        <w:tab w:val="center" w:pos="4320"/>
        <w:tab w:val="right" w:pos="8640"/>
      </w:tabs>
    </w:pPr>
  </w:style>
  <w:style w:type="character" w:customStyle="1" w:styleId="FooterChar">
    <w:name w:val="Footer Char"/>
    <w:basedOn w:val="DefaultParagraphFont"/>
    <w:link w:val="Footer"/>
    <w:rsid w:val="007A78C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A78C2"/>
    <w:rPr>
      <w:rFonts w:ascii="Tahoma" w:hAnsi="Tahoma" w:cs="Tahoma"/>
      <w:sz w:val="16"/>
      <w:szCs w:val="16"/>
    </w:rPr>
  </w:style>
  <w:style w:type="character" w:customStyle="1" w:styleId="BalloonTextChar">
    <w:name w:val="Balloon Text Char"/>
    <w:basedOn w:val="DefaultParagraphFont"/>
    <w:link w:val="BalloonText"/>
    <w:uiPriority w:val="99"/>
    <w:semiHidden/>
    <w:rsid w:val="007A78C2"/>
    <w:rPr>
      <w:rFonts w:ascii="Tahoma" w:eastAsia="Times New Roman" w:hAnsi="Tahoma" w:cs="Tahoma"/>
      <w:sz w:val="16"/>
      <w:szCs w:val="16"/>
    </w:rPr>
  </w:style>
  <w:style w:type="paragraph" w:styleId="ListParagraph">
    <w:name w:val="List Paragraph"/>
    <w:basedOn w:val="Normal"/>
    <w:uiPriority w:val="34"/>
    <w:qFormat/>
    <w:rsid w:val="00746D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390353">
      <w:bodyDiv w:val="1"/>
      <w:marLeft w:val="0"/>
      <w:marRight w:val="0"/>
      <w:marTop w:val="0"/>
      <w:marBottom w:val="0"/>
      <w:divBdr>
        <w:top w:val="none" w:sz="0" w:space="0" w:color="auto"/>
        <w:left w:val="none" w:sz="0" w:space="0" w:color="auto"/>
        <w:bottom w:val="none" w:sz="0" w:space="0" w:color="auto"/>
        <w:right w:val="none" w:sz="0" w:space="0" w:color="auto"/>
      </w:divBdr>
      <w:divsChild>
        <w:div w:id="328874738">
          <w:marLeft w:val="634"/>
          <w:marRight w:val="0"/>
          <w:marTop w:val="0"/>
          <w:marBottom w:val="100"/>
          <w:divBdr>
            <w:top w:val="none" w:sz="0" w:space="0" w:color="auto"/>
            <w:left w:val="none" w:sz="0" w:space="0" w:color="auto"/>
            <w:bottom w:val="none" w:sz="0" w:space="0" w:color="auto"/>
            <w:right w:val="none" w:sz="0" w:space="0" w:color="auto"/>
          </w:divBdr>
        </w:div>
        <w:div w:id="1753889164">
          <w:marLeft w:val="634"/>
          <w:marRight w:val="0"/>
          <w:marTop w:val="0"/>
          <w:marBottom w:val="100"/>
          <w:divBdr>
            <w:top w:val="none" w:sz="0" w:space="0" w:color="auto"/>
            <w:left w:val="none" w:sz="0" w:space="0" w:color="auto"/>
            <w:bottom w:val="none" w:sz="0" w:space="0" w:color="auto"/>
            <w:right w:val="none" w:sz="0" w:space="0" w:color="auto"/>
          </w:divBdr>
        </w:div>
        <w:div w:id="1027557583">
          <w:marLeft w:val="634"/>
          <w:marRight w:val="0"/>
          <w:marTop w:val="0"/>
          <w:marBottom w:val="100"/>
          <w:divBdr>
            <w:top w:val="none" w:sz="0" w:space="0" w:color="auto"/>
            <w:left w:val="none" w:sz="0" w:space="0" w:color="auto"/>
            <w:bottom w:val="none" w:sz="0" w:space="0" w:color="auto"/>
            <w:right w:val="none" w:sz="0" w:space="0" w:color="auto"/>
          </w:divBdr>
        </w:div>
        <w:div w:id="1131947231">
          <w:marLeft w:val="634"/>
          <w:marRight w:val="0"/>
          <w:marTop w:val="0"/>
          <w:marBottom w:val="100"/>
          <w:divBdr>
            <w:top w:val="none" w:sz="0" w:space="0" w:color="auto"/>
            <w:left w:val="none" w:sz="0" w:space="0" w:color="auto"/>
            <w:bottom w:val="none" w:sz="0" w:space="0" w:color="auto"/>
            <w:right w:val="none" w:sz="0" w:space="0" w:color="auto"/>
          </w:divBdr>
        </w:div>
        <w:div w:id="515387872">
          <w:marLeft w:val="634"/>
          <w:marRight w:val="0"/>
          <w:marTop w:val="0"/>
          <w:marBottom w:val="100"/>
          <w:divBdr>
            <w:top w:val="none" w:sz="0" w:space="0" w:color="auto"/>
            <w:left w:val="none" w:sz="0" w:space="0" w:color="auto"/>
            <w:bottom w:val="none" w:sz="0" w:space="0" w:color="auto"/>
            <w:right w:val="none" w:sz="0" w:space="0" w:color="auto"/>
          </w:divBdr>
        </w:div>
        <w:div w:id="2038777119">
          <w:marLeft w:val="634"/>
          <w:marRight w:val="0"/>
          <w:marTop w:val="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164</Words>
  <Characters>938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ATK Federal Cartridge</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Gratz, Erika</dc:creator>
  <cp:lastModifiedBy>Ryan Gilligan</cp:lastModifiedBy>
  <cp:revision>2</cp:revision>
  <cp:lastPrinted>2021-10-12T19:18:00Z</cp:lastPrinted>
  <dcterms:created xsi:type="dcterms:W3CDTF">2021-10-18T11:50:00Z</dcterms:created>
  <dcterms:modified xsi:type="dcterms:W3CDTF">2021-10-18T11:50:00Z</dcterms:modified>
</cp:coreProperties>
</file>